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06CD" w:rsidRDefault="003906CD">
      <w:pPr>
        <w:widowControl w:val="0"/>
        <w:pBdr>
          <w:top w:val="nil"/>
          <w:left w:val="nil"/>
          <w:bottom w:val="nil"/>
          <w:right w:val="nil"/>
          <w:between w:val="nil"/>
        </w:pBdr>
        <w:spacing w:after="0"/>
      </w:pPr>
    </w:p>
    <w:p w:rsidR="003906CD" w:rsidRDefault="003906CD">
      <w:pPr>
        <w:widowControl w:val="0"/>
        <w:pBdr>
          <w:top w:val="nil"/>
          <w:left w:val="nil"/>
          <w:bottom w:val="nil"/>
          <w:right w:val="nil"/>
          <w:between w:val="nil"/>
        </w:pBdr>
        <w:spacing w:after="0"/>
      </w:pPr>
    </w:p>
    <w:p w:rsidR="003906CD" w:rsidRDefault="003906CD">
      <w:pPr>
        <w:widowControl w:val="0"/>
        <w:pBdr>
          <w:top w:val="nil"/>
          <w:left w:val="nil"/>
          <w:bottom w:val="nil"/>
          <w:right w:val="nil"/>
          <w:between w:val="nil"/>
        </w:pBdr>
        <w:spacing w:after="0"/>
      </w:pPr>
      <w:bookmarkStart w:id="0" w:name="_heading=h.2s8eyo1" w:colFirst="0" w:colLast="0"/>
      <w:bookmarkEnd w:id="0"/>
    </w:p>
    <w:p w:rsidR="003906CD" w:rsidRDefault="00930550">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(Key Performance Indicators)</w:t>
      </w:r>
    </w:p>
    <w:p w:rsidR="003906CD" w:rsidRDefault="00930550">
      <w:pPr>
        <w:numPr>
          <w:ilvl w:val="0"/>
          <w:numId w:val="5"/>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f6"/>
        <w:tblW w:w="858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6173"/>
      </w:tblGrid>
      <w:tr w:rsidR="003906CD">
        <w:tc>
          <w:tcPr>
            <w:tcW w:w="2410" w:type="dxa"/>
            <w:shd w:val="clear" w:color="auto" w:fill="auto"/>
          </w:tcPr>
          <w:p w:rsidR="003906CD" w:rsidRDefault="00930550">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Amount"</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3906CD">
        <w:tc>
          <w:tcPr>
            <w:tcW w:w="2410" w:type="dxa"/>
            <w:shd w:val="clear" w:color="auto" w:fill="auto"/>
          </w:tcPr>
          <w:p w:rsidR="003906CD" w:rsidRDefault="0093055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"Earn Back %"</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3906CD">
        <w:tc>
          <w:tcPr>
            <w:tcW w:w="2410" w:type="dxa"/>
            <w:shd w:val="clear" w:color="auto" w:fill="auto"/>
          </w:tcPr>
          <w:p w:rsidR="003906CD" w:rsidRPr="000B57AC" w:rsidRDefault="00930550">
            <w:pPr>
              <w:spacing w:after="120"/>
              <w:ind w:left="-108"/>
              <w:rPr>
                <w:rFonts w:ascii="Arial" w:eastAsia="Arial" w:hAnsi="Arial" w:cs="Arial"/>
                <w:b/>
                <w:color w:val="000000"/>
                <w:sz w:val="24"/>
                <w:szCs w:val="24"/>
              </w:rPr>
            </w:pPr>
            <w:r w:rsidRPr="000B57AC">
              <w:rPr>
                <w:rFonts w:ascii="Arial" w:eastAsia="Arial" w:hAnsi="Arial" w:cs="Arial"/>
                <w:b/>
                <w:color w:val="000000"/>
                <w:sz w:val="24"/>
                <w:szCs w:val="24"/>
              </w:rPr>
              <w:t>“KPI Category”</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each of the categories in the columns headed "KPI Category" in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tc>
      </w:tr>
      <w:tr w:rsidR="003906CD">
        <w:tc>
          <w:tcPr>
            <w:tcW w:w="2410" w:type="dxa"/>
            <w:shd w:val="clear" w:color="auto" w:fill="auto"/>
          </w:tcPr>
          <w:p w:rsidR="003906CD" w:rsidRPr="000B57AC" w:rsidRDefault="00930550">
            <w:pPr>
              <w:spacing w:after="120"/>
              <w:ind w:left="-108"/>
              <w:rPr>
                <w:rFonts w:ascii="Arial" w:eastAsia="Arial" w:hAnsi="Arial" w:cs="Arial"/>
                <w:b/>
                <w:color w:val="000000"/>
                <w:sz w:val="24"/>
                <w:szCs w:val="24"/>
              </w:rPr>
            </w:pPr>
            <w:r w:rsidRPr="000B57AC">
              <w:rPr>
                <w:rFonts w:ascii="Arial" w:eastAsia="Arial" w:hAnsi="Arial" w:cs="Arial"/>
                <w:b/>
                <w:color w:val="000000"/>
                <w:sz w:val="24"/>
                <w:szCs w:val="24"/>
              </w:rPr>
              <w:t xml:space="preserve">“KPI Category </w:t>
            </w:r>
            <w:proofErr w:type="gramStart"/>
            <w:r w:rsidRPr="000B57AC">
              <w:rPr>
                <w:rFonts w:ascii="Arial" w:eastAsia="Arial" w:hAnsi="Arial" w:cs="Arial"/>
                <w:b/>
                <w:color w:val="000000"/>
                <w:sz w:val="24"/>
                <w:szCs w:val="24"/>
              </w:rPr>
              <w:t>At</w:t>
            </w:r>
            <w:proofErr w:type="gramEnd"/>
            <w:r w:rsidRPr="000B57AC">
              <w:rPr>
                <w:rFonts w:ascii="Arial" w:eastAsia="Arial" w:hAnsi="Arial" w:cs="Arial"/>
                <w:b/>
                <w:color w:val="000000"/>
                <w:sz w:val="24"/>
                <w:szCs w:val="24"/>
              </w:rPr>
              <w:t xml:space="preserve"> Risk Amount”</w:t>
            </w:r>
          </w:p>
        </w:tc>
        <w:tc>
          <w:tcPr>
            <w:tcW w:w="6173" w:type="dxa"/>
            <w:shd w:val="clear" w:color="auto" w:fill="auto"/>
          </w:tcPr>
          <w:p w:rsidR="003906CD" w:rsidRDefault="00930550">
            <w:pP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in relation to a KPI Performance Measure in respect of a Service Period, the amount calculated in accordance with Paragraph 3.2 of Part A of this Schedule;</w:t>
            </w:r>
          </w:p>
        </w:tc>
      </w:tr>
      <w:tr w:rsidR="003906CD">
        <w:tc>
          <w:tcPr>
            <w:tcW w:w="2410" w:type="dxa"/>
            <w:shd w:val="clear" w:color="auto" w:fill="auto"/>
          </w:tcPr>
          <w:p w:rsidR="003906CD" w:rsidRPr="000B57AC" w:rsidRDefault="00930550">
            <w:pPr>
              <w:pBdr>
                <w:top w:val="nil"/>
                <w:left w:val="nil"/>
                <w:bottom w:val="nil"/>
                <w:right w:val="nil"/>
                <w:between w:val="nil"/>
              </w:pBdr>
              <w:spacing w:after="120"/>
              <w:ind w:left="-108"/>
              <w:rPr>
                <w:rFonts w:ascii="Arial" w:eastAsia="Arial" w:hAnsi="Arial" w:cs="Arial"/>
                <w:b/>
                <w:sz w:val="24"/>
                <w:szCs w:val="24"/>
              </w:rPr>
            </w:pPr>
            <w:r w:rsidRPr="000B57AC">
              <w:rPr>
                <w:rFonts w:ascii="Arial" w:eastAsia="Arial" w:hAnsi="Arial" w:cs="Arial"/>
                <w:b/>
                <w:color w:val="000000"/>
                <w:sz w:val="24"/>
                <w:szCs w:val="24"/>
              </w:rPr>
              <w:t>“Full Retention Threshold”</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shall have the meaning in Part A of this Schedule;</w:t>
            </w:r>
          </w:p>
        </w:tc>
      </w:tr>
      <w:tr w:rsidR="003906CD">
        <w:tc>
          <w:tcPr>
            <w:tcW w:w="2410" w:type="dxa"/>
            <w:shd w:val="clear" w:color="auto" w:fill="auto"/>
          </w:tcPr>
          <w:p w:rsidR="003906CD" w:rsidRPr="000B57AC" w:rsidRDefault="00930550">
            <w:pPr>
              <w:pBdr>
                <w:top w:val="nil"/>
                <w:left w:val="nil"/>
                <w:bottom w:val="nil"/>
                <w:right w:val="nil"/>
                <w:between w:val="nil"/>
              </w:pBdr>
              <w:spacing w:after="120"/>
              <w:ind w:left="-108"/>
              <w:rPr>
                <w:rFonts w:ascii="Arial" w:eastAsia="Arial" w:hAnsi="Arial" w:cs="Arial"/>
                <w:b/>
                <w:color w:val="000000"/>
                <w:sz w:val="24"/>
                <w:szCs w:val="24"/>
              </w:rPr>
            </w:pPr>
            <w:r w:rsidRPr="000B57AC">
              <w:rPr>
                <w:rFonts w:ascii="Arial" w:eastAsia="Arial" w:hAnsi="Arial" w:cs="Arial"/>
                <w:b/>
                <w:color w:val="000000"/>
                <w:sz w:val="24"/>
                <w:szCs w:val="24"/>
              </w:rPr>
              <w:t>"KPI Credits"</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any KPI Credits specified in the Annex A to Part A of this Schedule being payable by the Supplier to the Buyer in respect of any failure by the Supplier to meet the Score Threshold for one or more KPI Categories;</w:t>
            </w:r>
          </w:p>
        </w:tc>
      </w:tr>
      <w:tr w:rsidR="003906CD">
        <w:tc>
          <w:tcPr>
            <w:tcW w:w="2410" w:type="dxa"/>
            <w:shd w:val="clear" w:color="auto" w:fill="auto"/>
          </w:tcPr>
          <w:p w:rsidR="003906CD" w:rsidRPr="000B57AC" w:rsidRDefault="00930550">
            <w:pPr>
              <w:pBdr>
                <w:top w:val="nil"/>
                <w:left w:val="nil"/>
                <w:bottom w:val="nil"/>
                <w:right w:val="nil"/>
                <w:between w:val="nil"/>
              </w:pBdr>
              <w:spacing w:after="120"/>
              <w:ind w:left="-108"/>
              <w:rPr>
                <w:rFonts w:ascii="Arial" w:eastAsia="Arial" w:hAnsi="Arial" w:cs="Arial"/>
                <w:b/>
                <w:color w:val="000000"/>
                <w:sz w:val="24"/>
                <w:szCs w:val="24"/>
              </w:rPr>
            </w:pPr>
            <w:r w:rsidRPr="000B57AC">
              <w:rPr>
                <w:rFonts w:ascii="Arial" w:eastAsia="Arial" w:hAnsi="Arial" w:cs="Arial"/>
                <w:b/>
                <w:color w:val="000000"/>
                <w:sz w:val="24"/>
                <w:szCs w:val="24"/>
              </w:rPr>
              <w:t xml:space="preserve">"KPI </w:t>
            </w:r>
            <w:proofErr w:type="spellStart"/>
            <w:r w:rsidRPr="000B57AC">
              <w:rPr>
                <w:rFonts w:ascii="Arial" w:eastAsia="Arial" w:hAnsi="Arial" w:cs="Arial"/>
                <w:b/>
                <w:color w:val="000000"/>
                <w:sz w:val="24"/>
                <w:szCs w:val="24"/>
              </w:rPr>
              <w:t>Paymech</w:t>
            </w:r>
            <w:proofErr w:type="spellEnd"/>
            <w:r w:rsidRPr="000B57AC">
              <w:rPr>
                <w:rFonts w:ascii="Arial" w:eastAsia="Arial" w:hAnsi="Arial" w:cs="Arial"/>
                <w:b/>
                <w:color w:val="000000"/>
                <w:sz w:val="24"/>
                <w:szCs w:val="24"/>
              </w:rPr>
              <w:t xml:space="preserve"> Model"</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tr w:rsidR="003906CD">
        <w:tc>
          <w:tcPr>
            <w:tcW w:w="2410" w:type="dxa"/>
            <w:shd w:val="clear" w:color="auto" w:fill="auto"/>
          </w:tcPr>
          <w:p w:rsidR="003906CD" w:rsidRPr="000B57AC" w:rsidRDefault="00930550">
            <w:pPr>
              <w:spacing w:after="280"/>
              <w:rPr>
                <w:rFonts w:ascii="Arial" w:eastAsia="Arial" w:hAnsi="Arial" w:cs="Arial"/>
                <w:b/>
                <w:color w:val="000000"/>
                <w:sz w:val="24"/>
                <w:szCs w:val="24"/>
              </w:rPr>
            </w:pPr>
            <w:r w:rsidRPr="000B57AC">
              <w:rPr>
                <w:rFonts w:ascii="Arial" w:eastAsia="Arial" w:hAnsi="Arial" w:cs="Arial"/>
                <w:b/>
                <w:color w:val="000000"/>
                <w:sz w:val="24"/>
                <w:szCs w:val="24"/>
              </w:rPr>
              <w:t>"KPI Failure"</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resulting in a KPI Category Failure in respect of a KPI;</w:t>
            </w:r>
          </w:p>
        </w:tc>
      </w:tr>
      <w:tr w:rsidR="003906CD">
        <w:tc>
          <w:tcPr>
            <w:tcW w:w="2410" w:type="dxa"/>
            <w:shd w:val="clear" w:color="auto" w:fill="auto"/>
          </w:tcPr>
          <w:p w:rsidR="003906CD" w:rsidRDefault="00930550">
            <w:pPr>
              <w:spacing w:after="280"/>
              <w:rPr>
                <w:rFonts w:ascii="Arial" w:eastAsia="Arial" w:hAnsi="Arial" w:cs="Arial"/>
                <w:b/>
                <w:color w:val="000000"/>
                <w:sz w:val="24"/>
                <w:szCs w:val="24"/>
              </w:rPr>
            </w:pPr>
            <w:r>
              <w:rPr>
                <w:rFonts w:ascii="Arial" w:eastAsia="Arial" w:hAnsi="Arial" w:cs="Arial"/>
                <w:b/>
                <w:color w:val="000000"/>
                <w:sz w:val="24"/>
                <w:szCs w:val="24"/>
              </w:rPr>
              <w:t xml:space="preserve">“KPI Performance </w:t>
            </w:r>
            <w:proofErr w:type="gramStart"/>
            <w:r>
              <w:rPr>
                <w:rFonts w:ascii="Arial" w:eastAsia="Arial" w:hAnsi="Arial" w:cs="Arial"/>
                <w:b/>
                <w:color w:val="000000"/>
                <w:sz w:val="24"/>
                <w:szCs w:val="24"/>
              </w:rPr>
              <w:t>Measure ”</w:t>
            </w:r>
            <w:proofErr w:type="gramEnd"/>
          </w:p>
          <w:p w:rsidR="003906CD" w:rsidRDefault="003906CD">
            <w:pPr>
              <w:pBdr>
                <w:top w:val="nil"/>
                <w:left w:val="nil"/>
                <w:bottom w:val="nil"/>
                <w:right w:val="nil"/>
                <w:between w:val="nil"/>
              </w:pBdr>
              <w:spacing w:after="120"/>
              <w:ind w:left="-108"/>
              <w:rPr>
                <w:rFonts w:ascii="Arial" w:eastAsia="Arial" w:hAnsi="Arial" w:cs="Arial"/>
                <w:b/>
                <w:sz w:val="24"/>
                <w:szCs w:val="24"/>
              </w:rPr>
            </w:pP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Performance Measures in the column headed "KPI Performance Measure"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as set out Annex A to Part A of this Schedule</w:t>
            </w:r>
            <w:r>
              <w:rPr>
                <w:rFonts w:ascii="Arial" w:eastAsia="Arial" w:hAnsi="Arial" w:cs="Arial"/>
                <w:color w:val="000000"/>
                <w:sz w:val="24"/>
                <w:szCs w:val="24"/>
              </w:rPr>
              <w:t>;</w:t>
            </w:r>
          </w:p>
        </w:tc>
      </w:tr>
      <w:tr w:rsidR="003906CD">
        <w:tc>
          <w:tcPr>
            <w:tcW w:w="2410" w:type="dxa"/>
            <w:shd w:val="clear" w:color="auto" w:fill="auto"/>
          </w:tcPr>
          <w:p w:rsidR="003906CD" w:rsidRDefault="00930550">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"KPI Performance Measure Failure"</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in respect of a KPI;</w:t>
            </w:r>
          </w:p>
        </w:tc>
      </w:tr>
      <w:tr w:rsidR="003906CD">
        <w:tc>
          <w:tcPr>
            <w:tcW w:w="2410" w:type="dxa"/>
            <w:shd w:val="clear" w:color="auto" w:fill="auto"/>
          </w:tcPr>
          <w:p w:rsidR="003906CD" w:rsidRDefault="0093055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Monitoring Reports"</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3906CD">
        <w:tc>
          <w:tcPr>
            <w:tcW w:w="2410" w:type="dxa"/>
            <w:shd w:val="clear" w:color="auto" w:fill="auto"/>
          </w:tcPr>
          <w:p w:rsidR="003906CD" w:rsidRDefault="0093055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3906CD">
        <w:tc>
          <w:tcPr>
            <w:tcW w:w="2410" w:type="dxa"/>
            <w:shd w:val="clear" w:color="auto" w:fill="auto"/>
          </w:tcPr>
          <w:p w:rsidR="003906CD" w:rsidRDefault="0093055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6173" w:type="dxa"/>
            <w:shd w:val="clear" w:color="auto" w:fill="auto"/>
          </w:tcPr>
          <w:p w:rsidR="003906CD" w:rsidRDefault="00930550">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Supplier's actual performance against the KPI Performance Measures falls to or below the standard to which [Paragraph 6 of Part A] of this Schedule refers; </w:t>
            </w:r>
          </w:p>
        </w:tc>
      </w:tr>
      <w:tr w:rsidR="003906CD">
        <w:tc>
          <w:tcPr>
            <w:tcW w:w="2410" w:type="dxa"/>
            <w:shd w:val="clear" w:color="auto" w:fill="auto"/>
          </w:tcPr>
          <w:p w:rsidR="003906CD" w:rsidRPr="000B57AC" w:rsidRDefault="00930550">
            <w:pPr>
              <w:pBdr>
                <w:top w:val="nil"/>
                <w:left w:val="nil"/>
                <w:bottom w:val="nil"/>
                <w:right w:val="nil"/>
                <w:between w:val="nil"/>
              </w:pBdr>
              <w:spacing w:after="120"/>
              <w:ind w:left="-108"/>
              <w:rPr>
                <w:rFonts w:ascii="Arial" w:eastAsia="Arial" w:hAnsi="Arial" w:cs="Arial"/>
                <w:b/>
                <w:color w:val="000000"/>
                <w:sz w:val="24"/>
                <w:szCs w:val="24"/>
              </w:rPr>
            </w:pPr>
            <w:r w:rsidRPr="000B57AC">
              <w:rPr>
                <w:rFonts w:ascii="Arial" w:eastAsia="Arial" w:hAnsi="Arial" w:cs="Arial"/>
                <w:b/>
                <w:color w:val="000000"/>
                <w:sz w:val="24"/>
                <w:szCs w:val="24"/>
              </w:rPr>
              <w:t>“Score Threshold”</w:t>
            </w:r>
          </w:p>
        </w:tc>
        <w:tc>
          <w:tcPr>
            <w:tcW w:w="6173" w:type="dxa"/>
            <w:shd w:val="clear" w:color="auto" w:fill="auto"/>
          </w:tcPr>
          <w:p w:rsidR="003906CD" w:rsidRDefault="00930550">
            <w:pPr>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threshold the Supplier must meet, in respect of a Service Period, as detailed within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tc>
      </w:tr>
    </w:tbl>
    <w:p w:rsidR="003906CD" w:rsidRDefault="003906CD">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rsidR="003906CD" w:rsidRDefault="00930550">
      <w:pPr>
        <w:numPr>
          <w:ilvl w:val="0"/>
          <w:numId w:val="5"/>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KPI Performance Measures</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Measures.</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Performance Measure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KPI Credit shall be the Buyer’s exclusive financial remedy for a KPI Failure except where:</w:t>
      </w:r>
    </w:p>
    <w:p w:rsidR="003906CD" w:rsidRDefault="00930550">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Failure:</w:t>
      </w:r>
    </w:p>
    <w:p w:rsidR="003906CD" w:rsidRDefault="00930550">
      <w:pPr>
        <w:numPr>
          <w:ilvl w:val="3"/>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3906CD" w:rsidRDefault="00930550">
      <w:pPr>
        <w:numPr>
          <w:ilvl w:val="3"/>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3906CD" w:rsidRDefault="00930550">
      <w:pPr>
        <w:numPr>
          <w:ilvl w:val="3"/>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w:t>
      </w:r>
    </w:p>
    <w:p w:rsidR="003906CD" w:rsidRDefault="00930550">
      <w:pPr>
        <w:numPr>
          <w:ilvl w:val="2"/>
          <w:numId w:val="5"/>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(When CCS or the Buyer can end a contract).</w:t>
      </w:r>
    </w:p>
    <w:p w:rsidR="003906CD" w:rsidRDefault="00930550">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Not more than once in each Contract Year, the Buyer may, on giving the Supplier at least three (3) Months’ notice, change the weighting and/or the number of KPI Performance Measures, and the Supplier shall not be entitled to increase the Charges as a result of such changes, provided that:</w:t>
      </w:r>
    </w:p>
    <w:p w:rsidR="003906CD" w:rsidRDefault="00930550">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 Performance Measures for which the weighting is to be changed does not exceed the number applicable as at the Start Date; </w:t>
      </w:r>
    </w:p>
    <w:p w:rsidR="003906CD" w:rsidRDefault="00930550">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3906CD" w:rsidRDefault="00930550">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is no change to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Not more than once in each Contract Year, each party, on giving the other party at least three (3) Months’ notice, may request an amendment to elements of a Key Performance Indicator pursuant to Clause 24 of the Core Terms.  These elements include but are not limited to the following:</w:t>
      </w:r>
    </w:p>
    <w:p w:rsidR="003906CD" w:rsidRDefault="00930550">
      <w:pPr>
        <w:numPr>
          <w:ilvl w:val="2"/>
          <w:numId w:val="5"/>
        </w:numPr>
        <w:spacing w:before="120" w:after="120" w:line="240" w:lineRule="auto"/>
      </w:pPr>
      <w:r>
        <w:rPr>
          <w:rFonts w:ascii="Arial" w:eastAsia="Arial" w:hAnsi="Arial" w:cs="Arial"/>
          <w:color w:val="000000"/>
          <w:sz w:val="24"/>
          <w:szCs w:val="24"/>
        </w:rPr>
        <w:t>KPI Performance Measure;</w:t>
      </w:r>
    </w:p>
    <w:p w:rsidR="003906CD" w:rsidRDefault="00930550">
      <w:pPr>
        <w:numPr>
          <w:ilvl w:val="2"/>
          <w:numId w:val="5"/>
        </w:numPr>
        <w:spacing w:before="120" w:after="120" w:line="240" w:lineRule="auto"/>
      </w:pPr>
      <w:r>
        <w:rPr>
          <w:rFonts w:ascii="Arial" w:eastAsia="Arial" w:hAnsi="Arial" w:cs="Arial"/>
          <w:color w:val="000000"/>
          <w:sz w:val="24"/>
          <w:szCs w:val="24"/>
        </w:rPr>
        <w:t>Measure reference;</w:t>
      </w:r>
    </w:p>
    <w:p w:rsidR="003906CD" w:rsidRDefault="00930550">
      <w:pPr>
        <w:numPr>
          <w:ilvl w:val="2"/>
          <w:numId w:val="5"/>
        </w:numPr>
        <w:spacing w:before="120" w:after="120" w:line="240" w:lineRule="auto"/>
      </w:pPr>
      <w:r>
        <w:rPr>
          <w:rFonts w:ascii="Arial" w:eastAsia="Arial" w:hAnsi="Arial" w:cs="Arial"/>
          <w:color w:val="000000"/>
          <w:sz w:val="24"/>
          <w:szCs w:val="24"/>
        </w:rPr>
        <w:t xml:space="preserve">Measure and achievement criteria; </w:t>
      </w:r>
    </w:p>
    <w:p w:rsidR="003906CD" w:rsidRDefault="00930550">
      <w:pPr>
        <w:numPr>
          <w:ilvl w:val="2"/>
          <w:numId w:val="5"/>
        </w:numPr>
        <w:spacing w:before="120" w:after="120" w:line="240" w:lineRule="auto"/>
      </w:pPr>
      <w:r>
        <w:rPr>
          <w:rFonts w:ascii="Arial" w:eastAsia="Arial" w:hAnsi="Arial" w:cs="Arial"/>
          <w:color w:val="000000"/>
          <w:sz w:val="24"/>
          <w:szCs w:val="24"/>
        </w:rPr>
        <w:t>Measure achievement criteria calculation;</w:t>
      </w:r>
    </w:p>
    <w:p w:rsidR="003906CD" w:rsidRDefault="00930550">
      <w:pPr>
        <w:numPr>
          <w:ilvl w:val="2"/>
          <w:numId w:val="5"/>
        </w:numPr>
        <w:spacing w:before="120" w:after="120" w:line="240" w:lineRule="auto"/>
      </w:pPr>
      <w:r>
        <w:rPr>
          <w:rFonts w:ascii="Arial" w:eastAsia="Arial" w:hAnsi="Arial" w:cs="Arial"/>
          <w:color w:val="000000"/>
          <w:sz w:val="24"/>
          <w:szCs w:val="24"/>
        </w:rPr>
        <w:t>Achievement unit of measure;</w:t>
      </w:r>
    </w:p>
    <w:p w:rsidR="003906CD" w:rsidRDefault="00930550">
      <w:pPr>
        <w:numPr>
          <w:ilvl w:val="2"/>
          <w:numId w:val="5"/>
        </w:numPr>
        <w:spacing w:before="120" w:after="120" w:line="240" w:lineRule="auto"/>
      </w:pPr>
      <w:r>
        <w:rPr>
          <w:rFonts w:ascii="Arial" w:eastAsia="Arial" w:hAnsi="Arial" w:cs="Arial"/>
          <w:color w:val="000000"/>
          <w:sz w:val="24"/>
          <w:szCs w:val="24"/>
        </w:rPr>
        <w:t xml:space="preserve">Achievement value; </w:t>
      </w:r>
    </w:p>
    <w:p w:rsidR="003906CD" w:rsidRDefault="00930550">
      <w:pPr>
        <w:numPr>
          <w:ilvl w:val="2"/>
          <w:numId w:val="5"/>
        </w:numPr>
        <w:spacing w:before="120" w:after="120" w:line="240" w:lineRule="auto"/>
      </w:pPr>
      <w:r>
        <w:rPr>
          <w:rFonts w:ascii="Arial" w:eastAsia="Arial" w:hAnsi="Arial" w:cs="Arial"/>
          <w:color w:val="000000"/>
          <w:sz w:val="24"/>
          <w:szCs w:val="24"/>
        </w:rPr>
        <w:t>Achievement value (number);</w:t>
      </w:r>
    </w:p>
    <w:p w:rsidR="003906CD" w:rsidRDefault="00930550">
      <w:pPr>
        <w:numPr>
          <w:ilvl w:val="2"/>
          <w:numId w:val="5"/>
        </w:numPr>
        <w:spacing w:before="120" w:after="120" w:line="240" w:lineRule="auto"/>
      </w:pPr>
      <w:r>
        <w:rPr>
          <w:rFonts w:ascii="Arial" w:eastAsia="Arial" w:hAnsi="Arial" w:cs="Arial"/>
          <w:color w:val="000000"/>
          <w:sz w:val="24"/>
          <w:szCs w:val="24"/>
        </w:rPr>
        <w:t>Achievement value (pass or fail);</w:t>
      </w:r>
    </w:p>
    <w:p w:rsidR="003906CD" w:rsidRDefault="00930550">
      <w:pPr>
        <w:numPr>
          <w:ilvl w:val="2"/>
          <w:numId w:val="5"/>
        </w:numPr>
        <w:spacing w:before="120" w:after="120" w:line="240" w:lineRule="auto"/>
      </w:pPr>
      <w:r>
        <w:rPr>
          <w:rFonts w:ascii="Arial" w:eastAsia="Arial" w:hAnsi="Arial" w:cs="Arial"/>
          <w:color w:val="000000"/>
          <w:sz w:val="24"/>
          <w:szCs w:val="24"/>
        </w:rPr>
        <w:t>Scoring Scale;</w:t>
      </w:r>
    </w:p>
    <w:p w:rsidR="003906CD" w:rsidRDefault="00930550">
      <w:pPr>
        <w:numPr>
          <w:ilvl w:val="2"/>
          <w:numId w:val="5"/>
        </w:numPr>
        <w:spacing w:before="120" w:after="120" w:line="240" w:lineRule="auto"/>
      </w:pPr>
      <w:r>
        <w:rPr>
          <w:rFonts w:ascii="Arial" w:eastAsia="Arial" w:hAnsi="Arial" w:cs="Arial"/>
          <w:color w:val="000000"/>
          <w:sz w:val="24"/>
          <w:szCs w:val="24"/>
        </w:rPr>
        <w:t>Weighting; and/or</w:t>
      </w:r>
    </w:p>
    <w:p w:rsidR="003906CD" w:rsidRDefault="00930550">
      <w:pPr>
        <w:numPr>
          <w:ilvl w:val="2"/>
          <w:numId w:val="5"/>
        </w:numPr>
        <w:spacing w:before="120" w:after="120" w:line="240" w:lineRule="auto"/>
      </w:pPr>
      <w:r>
        <w:rPr>
          <w:rFonts w:ascii="Arial" w:eastAsia="Arial" w:hAnsi="Arial" w:cs="Arial"/>
          <w:color w:val="000000"/>
          <w:sz w:val="24"/>
          <w:szCs w:val="24"/>
        </w:rPr>
        <w:t>Score Threshold</w:t>
      </w:r>
    </w:p>
    <w:p w:rsidR="003906CD" w:rsidRDefault="003906CD">
      <w:pPr>
        <w:pBdr>
          <w:top w:val="nil"/>
          <w:left w:val="nil"/>
          <w:bottom w:val="nil"/>
          <w:right w:val="nil"/>
          <w:between w:val="nil"/>
        </w:pBdr>
        <w:spacing w:before="120" w:after="120" w:line="240" w:lineRule="auto"/>
        <w:ind w:left="2160"/>
        <w:rPr>
          <w:rFonts w:ascii="Arial" w:eastAsia="Arial" w:hAnsi="Arial" w:cs="Arial"/>
          <w:color w:val="000000"/>
        </w:rPr>
      </w:pPr>
    </w:p>
    <w:p w:rsidR="003906CD" w:rsidRDefault="00930550">
      <w:pPr>
        <w:numPr>
          <w:ilvl w:val="0"/>
          <w:numId w:val="5"/>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Failure</w:t>
      </w:r>
    </w:p>
    <w:p w:rsidR="003906CD" w:rsidRDefault="00930550">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 Failure:</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rsidR="003906CD" w:rsidRDefault="00930550">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be entitled to withhold and retain as compensation a sum equal to any Charges relating to the Persistent KPI Failure which would otherwise have been due to the Supplier in respect of that Service Period ("</w:t>
      </w:r>
      <w:r>
        <w:rPr>
          <w:rFonts w:ascii="Arial" w:eastAsia="Arial" w:hAnsi="Arial" w:cs="Arial"/>
          <w:b/>
          <w:color w:val="000000"/>
          <w:sz w:val="24"/>
          <w:szCs w:val="24"/>
        </w:rPr>
        <w:t>Compensation for Persistent KPI Failure</w:t>
      </w:r>
      <w:r>
        <w:rPr>
          <w:rFonts w:ascii="Arial" w:eastAsia="Arial" w:hAnsi="Arial" w:cs="Arial"/>
          <w:color w:val="000000"/>
          <w:sz w:val="24"/>
          <w:szCs w:val="24"/>
        </w:rPr>
        <w:t>"),</w:t>
      </w:r>
    </w:p>
    <w:p w:rsidR="003906CD" w:rsidRDefault="00930550">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lastRenderedPageBreak/>
        <w:t>provided that the operation of this paragraph 3 shall be without prejudice to the right of the Buyer to terminate this Contract and/or to claim damages from the Supplier for material Default.</w:t>
      </w:r>
    </w:p>
    <w:p w:rsidR="003906CD" w:rsidRDefault="003906CD">
      <w:pPr>
        <w:keepNext/>
        <w:pBdr>
          <w:top w:val="nil"/>
          <w:left w:val="nil"/>
          <w:bottom w:val="nil"/>
          <w:right w:val="nil"/>
          <w:between w:val="nil"/>
        </w:pBdr>
        <w:spacing w:after="240" w:line="240" w:lineRule="auto"/>
        <w:rPr>
          <w:rFonts w:ascii="Arial" w:eastAsia="Arial" w:hAnsi="Arial" w:cs="Arial"/>
          <w:b/>
          <w:color w:val="000000"/>
          <w:sz w:val="36"/>
          <w:szCs w:val="36"/>
        </w:rPr>
      </w:pPr>
      <w:bookmarkStart w:id="4" w:name="_heading=h.1fob9te" w:colFirst="0" w:colLast="0"/>
      <w:bookmarkEnd w:id="4"/>
    </w:p>
    <w:p w:rsidR="003906CD" w:rsidRDefault="003906CD">
      <w:pPr>
        <w:keepNext/>
        <w:pBdr>
          <w:top w:val="nil"/>
          <w:left w:val="nil"/>
          <w:bottom w:val="nil"/>
          <w:right w:val="nil"/>
          <w:between w:val="nil"/>
        </w:pBdr>
        <w:spacing w:after="240" w:line="240" w:lineRule="auto"/>
        <w:rPr>
          <w:rFonts w:ascii="Arial" w:eastAsia="Arial" w:hAnsi="Arial" w:cs="Arial"/>
          <w:b/>
          <w:color w:val="000000"/>
          <w:sz w:val="36"/>
          <w:szCs w:val="36"/>
        </w:rPr>
      </w:pPr>
    </w:p>
    <w:p w:rsidR="003906CD" w:rsidRDefault="00930550">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 xml:space="preserve">Part A: KPI Performance Measures and KPI Credits </w:t>
      </w:r>
    </w:p>
    <w:p w:rsidR="003906CD" w:rsidRDefault="00930550">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rsidR="003906CD" w:rsidRDefault="00930550">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3906CD" w:rsidRDefault="0093055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rsidR="003906CD" w:rsidRDefault="0093055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Persistent </w:t>
      </w:r>
      <w:proofErr w:type="spellStart"/>
      <w:r>
        <w:rPr>
          <w:rFonts w:ascii="Arial" w:eastAsia="Arial" w:hAnsi="Arial" w:cs="Arial"/>
          <w:color w:val="000000"/>
          <w:sz w:val="24"/>
          <w:szCs w:val="24"/>
        </w:rPr>
        <w:t>KPIFailure</w:t>
      </w:r>
      <w:proofErr w:type="spellEnd"/>
      <w:r>
        <w:rPr>
          <w:rFonts w:ascii="Arial" w:eastAsia="Arial" w:hAnsi="Arial" w:cs="Arial"/>
          <w:color w:val="000000"/>
          <w:sz w:val="24"/>
          <w:szCs w:val="24"/>
        </w:rPr>
        <w:t xml:space="preserve"> to occur, </w:t>
      </w:r>
    </w:p>
    <w:p w:rsidR="003906CD" w:rsidRDefault="00930550">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3906CD" w:rsidRDefault="00930550">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preventative and/or remedial action that is reasonable to mitigate the impact on the Buyer and to rectify or prevent a KPI Performance Measure Failure or Persistent KPI Failure from taking place or recurring; </w:t>
      </w:r>
    </w:p>
    <w:p w:rsidR="003906CD" w:rsidRDefault="00930550">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3906CD" w:rsidRDefault="00930550">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KPI Failure has occurred, deduct the applicable KPI Credits payable by the Supplier to the Buyer; and/or</w:t>
      </w:r>
    </w:p>
    <w:p w:rsidR="003906CD" w:rsidRDefault="00930550">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Persistent KPI Failure has occurred, exercise its right to Compensation for Persistent KPI Failure (including the right to terminate for material Default).</w:t>
      </w:r>
    </w:p>
    <w:p w:rsidR="003906CD" w:rsidRDefault="003906CD">
      <w:pPr>
        <w:pBdr>
          <w:top w:val="nil"/>
          <w:left w:val="nil"/>
          <w:bottom w:val="nil"/>
          <w:right w:val="nil"/>
          <w:between w:val="nil"/>
        </w:pBdr>
        <w:spacing w:before="120" w:after="120" w:line="240" w:lineRule="auto"/>
        <w:rPr>
          <w:rFonts w:ascii="Arial" w:eastAsia="Arial" w:hAnsi="Arial" w:cs="Arial"/>
          <w:color w:val="000000"/>
          <w:sz w:val="24"/>
          <w:szCs w:val="24"/>
        </w:rPr>
      </w:pPr>
    </w:p>
    <w:p w:rsidR="003906CD" w:rsidRDefault="00930550">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 Credits</w:t>
      </w:r>
    </w:p>
    <w:p w:rsidR="003906CD" w:rsidRDefault="0093055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rsidR="003906CD" w:rsidRDefault="00930550">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set-off</w:t>
      </w:r>
      <w:r>
        <w:rPr>
          <w:rFonts w:ascii="Arial" w:eastAsia="Arial" w:hAnsi="Arial" w:cs="Arial"/>
          <w:color w:val="000000"/>
          <w:sz w:val="24"/>
          <w:szCs w:val="24"/>
        </w:rPr>
        <w:t xml:space="preserve"> the 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detailed in clause 3 below</w:t>
      </w:r>
      <w:r>
        <w:rPr>
          <w:rFonts w:ascii="Arial" w:eastAsia="Arial" w:hAnsi="Arial" w:cs="Arial"/>
          <w:sz w:val="24"/>
          <w:szCs w:val="24"/>
        </w:rPr>
        <w:t xml:space="preserve">. </w:t>
      </w:r>
    </w:p>
    <w:p w:rsidR="003906CD" w:rsidRDefault="00930550">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rsidR="003906CD" w:rsidRDefault="00930550">
      <w:pPr>
        <w:numPr>
          <w:ilvl w:val="1"/>
          <w:numId w:val="3"/>
        </w:numPr>
        <w:pBdr>
          <w:top w:val="nil"/>
          <w:left w:val="nil"/>
          <w:bottom w:val="nil"/>
          <w:right w:val="nil"/>
          <w:between w:val="nil"/>
        </w:pBdr>
        <w:tabs>
          <w:tab w:val="left" w:pos="144"/>
        </w:tabs>
        <w:spacing w:after="120" w:line="240" w:lineRule="auto"/>
        <w:jc w:val="both"/>
      </w:pPr>
      <w:bookmarkStart w:id="7" w:name="_heading=h.lnxbz9" w:colFirst="0" w:colLast="0"/>
      <w:bookmarkEnd w:id="7"/>
      <w:r>
        <w:rPr>
          <w:rFonts w:ascii="Arial" w:eastAsia="Arial" w:hAnsi="Arial" w:cs="Arial"/>
          <w:color w:val="000000"/>
          <w:sz w:val="24"/>
          <w:szCs w:val="24"/>
        </w:rPr>
        <w:t xml:space="preserve">For a Service Period,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 shall be calculated in accordance with Section 2 - Calculation of Monthly At Risk Amount, of </w:t>
      </w:r>
      <w:r>
        <w:rPr>
          <w:rFonts w:ascii="Arial" w:eastAsia="Arial" w:hAnsi="Arial" w:cs="Arial"/>
          <w:color w:val="000000"/>
          <w:sz w:val="24"/>
          <w:szCs w:val="24"/>
        </w:rPr>
        <w:lastRenderedPageBreak/>
        <w:t xml:space="preserve">the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Calc Overview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w:t>
      </w:r>
    </w:p>
    <w:p w:rsidR="003906CD" w:rsidRDefault="00930550">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Category At Risk Amount shall be calculated as follows: for each KPI </w:t>
      </w:r>
      <w:proofErr w:type="gramStart"/>
      <w:r>
        <w:rPr>
          <w:rFonts w:ascii="Arial" w:eastAsia="Arial" w:hAnsi="Arial" w:cs="Arial"/>
          <w:color w:val="000000"/>
          <w:sz w:val="24"/>
          <w:szCs w:val="24"/>
        </w:rPr>
        <w:t>Category,,</w:t>
      </w:r>
      <w:proofErr w:type="gramEnd"/>
      <w:r>
        <w:rPr>
          <w:rFonts w:ascii="Arial" w:eastAsia="Arial" w:hAnsi="Arial" w:cs="Arial"/>
          <w:color w:val="000000"/>
          <w:sz w:val="24"/>
          <w:szCs w:val="24"/>
        </w:rPr>
        <w:t xml:space="preserve"> the At Risk Amount shall be apportioned to it in accordance with the KPI Measure Weightings in the column headed KPI Measure Weighting % in the KPI Performance Measures Table 2 of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35nkun2" w:colFirst="0" w:colLast="0"/>
      <w:bookmarkEnd w:id="8"/>
      <w:r>
        <w:rPr>
          <w:rFonts w:ascii="Arial" w:eastAsia="Arial" w:hAnsi="Arial" w:cs="Arial"/>
          <w:color w:val="000000"/>
          <w:sz w:val="24"/>
          <w:szCs w:val="24"/>
        </w:rPr>
        <w:t xml:space="preserve">KPI Credit </w:t>
      </w:r>
    </w:p>
    <w:p w:rsidR="003906CD" w:rsidRDefault="00930550">
      <w:pPr>
        <w:numPr>
          <w:ilvl w:val="2"/>
          <w:numId w:val="3"/>
        </w:numPr>
        <w:pBdr>
          <w:top w:val="nil"/>
          <w:left w:val="nil"/>
          <w:bottom w:val="nil"/>
          <w:right w:val="nil"/>
          <w:between w:val="nil"/>
        </w:pBdr>
        <w:tabs>
          <w:tab w:val="left" w:pos="144"/>
        </w:tabs>
        <w:spacing w:after="120" w:line="240" w:lineRule="auto"/>
        <w:jc w:val="both"/>
      </w:pPr>
      <w:r>
        <w:rPr>
          <w:rFonts w:ascii="Arial" w:eastAsia="Arial" w:hAnsi="Arial" w:cs="Arial"/>
          <w:color w:val="000000"/>
          <w:sz w:val="24"/>
          <w:szCs w:val="24"/>
        </w:rPr>
        <w:t>The KPI Credit to be applied to a KPI Performance Measure in a Service Period for a KPI Performance Measure Failure shall be determined by the outcome in the score threshold achieved. If the score threshold is not achieved, a KPI Credit shall be applied as per the KPI Category at Risk Amount in Table 2</w:t>
      </w:r>
      <w:proofErr w:type="gramStart"/>
      <w:r>
        <w:rPr>
          <w:rFonts w:ascii="Arial" w:eastAsia="Arial" w:hAnsi="Arial" w:cs="Arial"/>
          <w:color w:val="000000"/>
          <w:sz w:val="24"/>
          <w:szCs w:val="24"/>
        </w:rPr>
        <w:t>. .</w:t>
      </w:r>
      <w:proofErr w:type="gramEnd"/>
    </w:p>
    <w:p w:rsidR="003906CD" w:rsidRDefault="003906CD">
      <w:pPr>
        <w:pBdr>
          <w:top w:val="nil"/>
          <w:left w:val="nil"/>
          <w:bottom w:val="nil"/>
          <w:right w:val="nil"/>
          <w:between w:val="nil"/>
        </w:pBdr>
        <w:tabs>
          <w:tab w:val="left" w:pos="144"/>
        </w:tabs>
        <w:spacing w:after="120" w:line="240" w:lineRule="auto"/>
        <w:ind w:left="2880"/>
        <w:jc w:val="both"/>
        <w:rPr>
          <w:rFonts w:ascii="Arial" w:eastAsia="Arial" w:hAnsi="Arial" w:cs="Arial"/>
          <w:color w:val="000000"/>
          <w:sz w:val="24"/>
          <w:szCs w:val="24"/>
        </w:rPr>
      </w:pPr>
    </w:p>
    <w:p w:rsidR="003906CD" w:rsidRDefault="00930550">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9" w:name="_heading=h.1ksv4uv" w:colFirst="0" w:colLast="0"/>
      <w:bookmarkEnd w:id="9"/>
      <w:r>
        <w:rPr>
          <w:rFonts w:ascii="Arial" w:eastAsia="Arial" w:hAnsi="Arial" w:cs="Arial"/>
          <w:b/>
          <w:color w:val="000000"/>
        </w:rPr>
        <w:t>KPI Credit – Full Retention Threshold (Optional)</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0" w:name="_heading=h.44sinio" w:colFirst="0" w:colLast="0"/>
      <w:bookmarkEnd w:id="10"/>
      <w:r>
        <w:rPr>
          <w:rFonts w:ascii="Arial" w:eastAsia="Arial" w:hAnsi="Arial" w:cs="Arial"/>
          <w:color w:val="000000"/>
          <w:sz w:val="24"/>
          <w:szCs w:val="24"/>
        </w:rPr>
        <w:t>An optional ‘Full Retention Threshold</w:t>
      </w:r>
      <w:proofErr w:type="gramStart"/>
      <w:r>
        <w:rPr>
          <w:rFonts w:ascii="Arial" w:eastAsia="Arial" w:hAnsi="Arial" w:cs="Arial"/>
          <w:color w:val="000000"/>
          <w:sz w:val="24"/>
          <w:szCs w:val="24"/>
        </w:rPr>
        <w:t>’  can</w:t>
      </w:r>
      <w:proofErr w:type="gramEnd"/>
      <w:r>
        <w:rPr>
          <w:rFonts w:ascii="Arial" w:eastAsia="Arial" w:hAnsi="Arial" w:cs="Arial"/>
          <w:color w:val="000000"/>
          <w:sz w:val="24"/>
          <w:szCs w:val="24"/>
        </w:rPr>
        <w:t xml:space="preserve"> apply to the calculation of KPI Credits where the KPI Measure Weighting % (set by the Buyer) against each KPI Category that fails, equals or exceeds a ‘Full Retention Threshold %’ (set by the Buyer). </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‘Full Retention Threshold %’ (set by the Buyer) is met or exceeded, the full ‘At Risk Amount’ for that Service Period will be deducted.</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Full Retention Threshold % and when it is to be applied pursuant to Paragraph 4.1, </w:t>
      </w:r>
      <w:r>
        <w:rPr>
          <w:rFonts w:ascii="Arial" w:eastAsia="Arial" w:hAnsi="Arial" w:cs="Arial"/>
          <w:color w:val="222222"/>
          <w:sz w:val="24"/>
          <w:szCs w:val="24"/>
          <w:highlight w:val="white"/>
        </w:rPr>
        <w:t>is set out in the KPI Measures</w:t>
      </w:r>
      <w:r>
        <w:rPr>
          <w:rFonts w:ascii="Arial" w:eastAsia="Arial" w:hAnsi="Arial" w:cs="Arial"/>
          <w:color w:val="222222"/>
          <w:sz w:val="24"/>
          <w:szCs w:val="24"/>
        </w:rPr>
        <w:t xml:space="preserve"> tab</w:t>
      </w:r>
      <w:r>
        <w:rPr>
          <w:rFonts w:ascii="Arial" w:eastAsia="Arial" w:hAnsi="Arial" w:cs="Arial"/>
          <w:color w:val="222222"/>
          <w:sz w:val="24"/>
          <w:szCs w:val="24"/>
          <w:highlight w:val="white"/>
        </w:rPr>
        <w:t xml:space="preserve"> of the </w:t>
      </w:r>
      <w:r>
        <w:rPr>
          <w:rFonts w:ascii="Arial" w:eastAsia="Arial" w:hAnsi="Arial" w:cs="Arial"/>
          <w:color w:val="222222"/>
          <w:sz w:val="24"/>
          <w:szCs w:val="24"/>
        </w:rPr>
        <w:t xml:space="preserve">KPI </w:t>
      </w:r>
      <w:proofErr w:type="spellStart"/>
      <w:r>
        <w:rPr>
          <w:rFonts w:ascii="Arial" w:eastAsia="Arial" w:hAnsi="Arial" w:cs="Arial"/>
          <w:color w:val="222222"/>
          <w:sz w:val="24"/>
          <w:szCs w:val="24"/>
        </w:rPr>
        <w:t>Paymech</w:t>
      </w:r>
      <w:proofErr w:type="spellEnd"/>
      <w:r>
        <w:rPr>
          <w:rFonts w:ascii="Arial" w:eastAsia="Arial" w:hAnsi="Arial" w:cs="Arial"/>
          <w:color w:val="222222"/>
          <w:sz w:val="24"/>
          <w:szCs w:val="24"/>
        </w:rPr>
        <w:t xml:space="preserve"> Model</w:t>
      </w:r>
      <w:r>
        <w:rPr>
          <w:rFonts w:ascii="Arial" w:eastAsia="Arial" w:hAnsi="Arial" w:cs="Arial"/>
          <w:color w:val="000000"/>
          <w:sz w:val="24"/>
          <w:szCs w:val="24"/>
        </w:rPr>
        <w:t>.</w:t>
      </w:r>
    </w:p>
    <w:p w:rsidR="003906CD" w:rsidRDefault="003906CD">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rsidR="003906CD" w:rsidRDefault="003906CD">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rsidR="003906CD" w:rsidRDefault="00930550">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11" w:name="_heading=h.z337ya" w:colFirst="0" w:colLast="0"/>
      <w:bookmarkEnd w:id="11"/>
      <w:r>
        <w:rPr>
          <w:rFonts w:ascii="Arial" w:eastAsia="Arial" w:hAnsi="Arial" w:cs="Arial"/>
          <w:b/>
          <w:color w:val="000000"/>
          <w:sz w:val="24"/>
          <w:szCs w:val="24"/>
        </w:rPr>
        <w:t>KPI Credit Earn Back</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2" w:name="_heading=h.3j2qqm3" w:colFirst="0" w:colLast="0"/>
      <w:bookmarkEnd w:id="12"/>
      <w:r>
        <w:rPr>
          <w:rFonts w:ascii="Arial" w:eastAsia="Arial" w:hAnsi="Arial" w:cs="Arial"/>
          <w:color w:val="000000"/>
          <w:sz w:val="24"/>
          <w:szCs w:val="24"/>
        </w:rPr>
        <w:t>If:</w:t>
      </w:r>
    </w:p>
    <w:p w:rsidR="003906CD" w:rsidRDefault="00930550">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1y810tw" w:colFirst="0" w:colLast="0"/>
      <w:bookmarkEnd w:id="13"/>
      <w:r>
        <w:rPr>
          <w:rFonts w:ascii="Arial" w:eastAsia="Arial" w:hAnsi="Arial" w:cs="Arial"/>
          <w:color w:val="000000"/>
          <w:sz w:val="24"/>
          <w:szCs w:val="24"/>
        </w:rPr>
        <w:t>in respect of a Service Period the Supplier has been liable to pay (and has paid) a KPI Credit in relation to a KPI Category; and</w:t>
      </w:r>
    </w:p>
    <w:p w:rsidR="003906CD" w:rsidRDefault="00930550">
      <w:pPr>
        <w:numPr>
          <w:ilvl w:val="2"/>
          <w:numId w:val="3"/>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next Service Period, the Supplier is not liable to pay a KPI Credit in relation to the same KPI </w:t>
      </w:r>
      <w:proofErr w:type="gramStart"/>
      <w:r>
        <w:rPr>
          <w:rFonts w:ascii="Arial" w:eastAsia="Arial" w:hAnsi="Arial" w:cs="Arial"/>
          <w:color w:val="000000"/>
          <w:sz w:val="24"/>
          <w:szCs w:val="24"/>
        </w:rPr>
        <w:t>Category  that</w:t>
      </w:r>
      <w:proofErr w:type="gramEnd"/>
      <w:r>
        <w:rPr>
          <w:rFonts w:ascii="Arial" w:eastAsia="Arial" w:hAnsi="Arial" w:cs="Arial"/>
          <w:color w:val="000000"/>
          <w:sz w:val="24"/>
          <w:szCs w:val="24"/>
        </w:rPr>
        <w:t xml:space="preserve"> was the subject of such KPI Credits in the previous Service Period,</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w:t>
      </w:r>
      <w:proofErr w:type="gramStart"/>
      <w:r>
        <w:rPr>
          <w:rFonts w:ascii="Arial" w:eastAsia="Arial" w:hAnsi="Arial" w:cs="Arial"/>
          <w:color w:val="000000"/>
          <w:sz w:val="24"/>
          <w:szCs w:val="24"/>
        </w:rPr>
        <w:t>Category  and</w:t>
      </w:r>
      <w:proofErr w:type="gramEnd"/>
      <w:r>
        <w:rPr>
          <w:rFonts w:ascii="Arial" w:eastAsia="Arial" w:hAnsi="Arial" w:cs="Arial"/>
          <w:color w:val="000000"/>
          <w:sz w:val="24"/>
          <w:szCs w:val="24"/>
        </w:rPr>
        <w:t xml:space="preserve"> the Earn </w:t>
      </w:r>
      <w:r>
        <w:rPr>
          <w:rFonts w:ascii="Arial" w:eastAsia="Arial" w:hAnsi="Arial" w:cs="Arial"/>
          <w:sz w:val="24"/>
          <w:szCs w:val="24"/>
        </w:rPr>
        <w:t>B</w:t>
      </w:r>
      <w:r>
        <w:rPr>
          <w:rFonts w:ascii="Arial" w:eastAsia="Arial" w:hAnsi="Arial" w:cs="Arial"/>
          <w:color w:val="000000"/>
          <w:sz w:val="24"/>
          <w:szCs w:val="24"/>
        </w:rPr>
        <w:t>ack %.</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rsidR="003906CD" w:rsidRDefault="003906CD">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rsidR="003906CD" w:rsidRDefault="00930550">
      <w:pPr>
        <w:numPr>
          <w:ilvl w:val="0"/>
          <w:numId w:val="3"/>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Persistent KPI </w:t>
      </w:r>
      <w:proofErr w:type="gramStart"/>
      <w:r>
        <w:rPr>
          <w:rFonts w:ascii="Arial" w:eastAsia="Arial" w:hAnsi="Arial" w:cs="Arial"/>
          <w:color w:val="000000"/>
          <w:sz w:val="24"/>
          <w:szCs w:val="24"/>
        </w:rPr>
        <w:t>Category  Failure</w:t>
      </w:r>
      <w:proofErr w:type="gramEnd"/>
      <w:r>
        <w:rPr>
          <w:rFonts w:ascii="Arial" w:eastAsia="Arial" w:hAnsi="Arial" w:cs="Arial"/>
          <w:color w:val="000000"/>
          <w:sz w:val="24"/>
          <w:szCs w:val="24"/>
        </w:rPr>
        <w:t xml:space="preserve"> shall arise when one or both of the following takes place:</w:t>
      </w:r>
    </w:p>
    <w:p w:rsidR="003906CD" w:rsidRDefault="00930550">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3znysh7" w:colFirst="0" w:colLast="0"/>
      <w:bookmarkEnd w:id="14"/>
      <w:r>
        <w:rPr>
          <w:rFonts w:ascii="Arial" w:eastAsia="Arial" w:hAnsi="Arial" w:cs="Arial"/>
          <w:color w:val="000000"/>
          <w:sz w:val="24"/>
          <w:szCs w:val="24"/>
        </w:rPr>
        <w:t>a KPI Category Failure in respect of any one or more of the KPI Categories occurs in five (5) consecutive Service Periods;</w:t>
      </w:r>
    </w:p>
    <w:p w:rsidR="003906CD" w:rsidRDefault="00930550">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Category Failure in respect of any one or more of the KPI Categories occurs in any seven (7) Service Periods in the immediately preceding twelve (12) Service Periods.</w:t>
      </w:r>
    </w:p>
    <w:p w:rsidR="003906CD" w:rsidRDefault="00930550">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rsidR="003906CD" w:rsidRDefault="003906CD">
      <w:pPr>
        <w:pBdr>
          <w:top w:val="nil"/>
          <w:left w:val="nil"/>
          <w:bottom w:val="nil"/>
          <w:right w:val="nil"/>
          <w:between w:val="nil"/>
        </w:pBdr>
        <w:spacing w:before="120" w:after="120" w:line="240" w:lineRule="auto"/>
        <w:rPr>
          <w:rFonts w:ascii="Arial" w:eastAsia="Arial" w:hAnsi="Arial" w:cs="Arial"/>
          <w:b/>
          <w:color w:val="000000"/>
          <w:sz w:val="36"/>
          <w:szCs w:val="36"/>
        </w:rPr>
      </w:pPr>
    </w:p>
    <w:p w:rsidR="003906CD" w:rsidRDefault="003906CD">
      <w:pPr>
        <w:pBdr>
          <w:top w:val="nil"/>
          <w:left w:val="nil"/>
          <w:bottom w:val="nil"/>
          <w:right w:val="nil"/>
          <w:between w:val="nil"/>
        </w:pBdr>
        <w:spacing w:before="120" w:after="120" w:line="240" w:lineRule="auto"/>
        <w:rPr>
          <w:rFonts w:ascii="Arial" w:eastAsia="Arial" w:hAnsi="Arial" w:cs="Arial"/>
          <w:b/>
          <w:color w:val="000000"/>
          <w:sz w:val="36"/>
          <w:szCs w:val="36"/>
        </w:rPr>
      </w:pPr>
    </w:p>
    <w:p w:rsidR="003906CD" w:rsidRDefault="003906CD">
      <w:pPr>
        <w:pBdr>
          <w:top w:val="nil"/>
          <w:left w:val="nil"/>
          <w:bottom w:val="nil"/>
          <w:right w:val="nil"/>
          <w:between w:val="nil"/>
        </w:pBdr>
        <w:spacing w:before="120" w:after="120" w:line="240" w:lineRule="auto"/>
        <w:rPr>
          <w:rFonts w:ascii="Arial" w:eastAsia="Arial" w:hAnsi="Arial" w:cs="Arial"/>
          <w:b/>
          <w:color w:val="000000"/>
          <w:sz w:val="36"/>
          <w:szCs w:val="36"/>
        </w:rPr>
      </w:pPr>
    </w:p>
    <w:p w:rsidR="003906CD" w:rsidRDefault="003906CD">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5" w:name="_heading=h.tyjcwt" w:colFirst="0" w:colLast="0"/>
      <w:bookmarkEnd w:id="15"/>
    </w:p>
    <w:p w:rsidR="003906CD" w:rsidRDefault="00930550">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Annex A to Part A – KPI</w:t>
      </w:r>
      <w:r w:rsidR="001E516F">
        <w:rPr>
          <w:rFonts w:ascii="Arial" w:eastAsia="Arial" w:hAnsi="Arial" w:cs="Arial"/>
          <w:b/>
          <w:color w:val="000000"/>
          <w:sz w:val="36"/>
          <w:szCs w:val="36"/>
        </w:rPr>
        <w:t xml:space="preserve">  </w:t>
      </w:r>
      <w:bookmarkStart w:id="16" w:name="_GoBack"/>
      <w:bookmarkEnd w:id="16"/>
      <w:r>
        <w:rPr>
          <w:rFonts w:ascii="Arial" w:eastAsia="Arial" w:hAnsi="Arial" w:cs="Arial"/>
          <w:b/>
          <w:color w:val="000000"/>
          <w:sz w:val="36"/>
          <w:szCs w:val="36"/>
        </w:rPr>
        <w:t>Paymech Model</w:t>
      </w:r>
    </w:p>
    <w:p w:rsidR="003906CD" w:rsidRDefault="003906CD">
      <w:pPr>
        <w:pBdr>
          <w:top w:val="nil"/>
          <w:left w:val="nil"/>
          <w:bottom w:val="nil"/>
          <w:right w:val="nil"/>
          <w:between w:val="nil"/>
        </w:pBdr>
        <w:spacing w:before="120" w:after="120" w:line="240" w:lineRule="auto"/>
        <w:rPr>
          <w:rFonts w:ascii="Arial" w:eastAsia="Arial" w:hAnsi="Arial" w:cs="Arial"/>
        </w:rPr>
      </w:pPr>
    </w:p>
    <w:bookmarkStart w:id="17" w:name="_MON_1756143082"/>
    <w:bookmarkEnd w:id="17"/>
    <w:p w:rsidR="003906CD" w:rsidRDefault="00F6622A">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object w:dxaOrig="1539" w:dyaOrig="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49.5pt" o:ole="">
            <v:imagedata r:id="rId8" o:title=""/>
          </v:shape>
          <o:OLEObject Type="Embed" ProgID="Excel.Sheet.12" ShapeID="_x0000_i1025" DrawAspect="Icon" ObjectID="_1798367162" r:id="rId9"/>
        </w:object>
      </w:r>
    </w:p>
    <w:p w:rsidR="003906CD" w:rsidRDefault="003906CD">
      <w:pPr>
        <w:pBdr>
          <w:top w:val="nil"/>
          <w:left w:val="nil"/>
          <w:bottom w:val="nil"/>
          <w:right w:val="nil"/>
          <w:between w:val="nil"/>
        </w:pBdr>
        <w:spacing w:before="120" w:after="120" w:line="240" w:lineRule="auto"/>
        <w:rPr>
          <w:rFonts w:ascii="Arial" w:eastAsia="Arial" w:hAnsi="Arial" w:cs="Arial"/>
        </w:rPr>
      </w:pPr>
    </w:p>
    <w:p w:rsidR="003906CD" w:rsidRDefault="003906CD">
      <w:pPr>
        <w:pBdr>
          <w:top w:val="nil"/>
          <w:left w:val="nil"/>
          <w:bottom w:val="nil"/>
          <w:right w:val="nil"/>
          <w:between w:val="nil"/>
        </w:pBdr>
        <w:spacing w:before="120" w:after="120" w:line="240" w:lineRule="auto"/>
        <w:rPr>
          <w:rFonts w:ascii="Arial" w:eastAsia="Arial" w:hAnsi="Arial" w:cs="Arial"/>
        </w:rPr>
      </w:pPr>
      <w:bookmarkStart w:id="18" w:name="_heading=h.3dy6vkm" w:colFirst="0" w:colLast="0"/>
      <w:bookmarkEnd w:id="18"/>
    </w:p>
    <w:p w:rsidR="003906CD" w:rsidRDefault="003906CD">
      <w:pPr>
        <w:pBdr>
          <w:top w:val="nil"/>
          <w:left w:val="nil"/>
          <w:bottom w:val="nil"/>
          <w:right w:val="nil"/>
          <w:between w:val="nil"/>
        </w:pBdr>
        <w:spacing w:before="120" w:after="120" w:line="240" w:lineRule="auto"/>
        <w:rPr>
          <w:rFonts w:ascii="Arial" w:eastAsia="Arial" w:hAnsi="Arial" w:cs="Arial"/>
        </w:rPr>
      </w:pPr>
      <w:bookmarkStart w:id="19" w:name="_heading=h.4d34og8" w:colFirst="0" w:colLast="0"/>
      <w:bookmarkEnd w:id="19"/>
    </w:p>
    <w:p w:rsidR="001E516F" w:rsidRDefault="001E516F">
      <w:pPr>
        <w:pBdr>
          <w:top w:val="nil"/>
          <w:left w:val="nil"/>
          <w:bottom w:val="nil"/>
          <w:right w:val="nil"/>
          <w:between w:val="nil"/>
        </w:pBdr>
        <w:spacing w:before="120" w:after="120" w:line="240" w:lineRule="auto"/>
        <w:rPr>
          <w:rFonts w:ascii="Arial" w:eastAsia="Arial" w:hAnsi="Arial" w:cs="Arial"/>
        </w:rPr>
      </w:pPr>
    </w:p>
    <w:p w:rsidR="001E516F" w:rsidRDefault="001E516F">
      <w:pPr>
        <w:pBdr>
          <w:top w:val="nil"/>
          <w:left w:val="nil"/>
          <w:bottom w:val="nil"/>
          <w:right w:val="nil"/>
          <w:between w:val="nil"/>
        </w:pBdr>
        <w:spacing w:before="120" w:after="120" w:line="240" w:lineRule="auto"/>
        <w:rPr>
          <w:rFonts w:ascii="Arial" w:eastAsia="Arial" w:hAnsi="Arial" w:cs="Arial"/>
        </w:rPr>
      </w:pPr>
    </w:p>
    <w:p w:rsidR="001E516F" w:rsidRDefault="001E516F">
      <w:pPr>
        <w:pBdr>
          <w:top w:val="nil"/>
          <w:left w:val="nil"/>
          <w:bottom w:val="nil"/>
          <w:right w:val="nil"/>
          <w:between w:val="nil"/>
        </w:pBdr>
        <w:spacing w:before="120" w:after="120" w:line="240" w:lineRule="auto"/>
        <w:rPr>
          <w:rFonts w:ascii="Arial" w:eastAsia="Arial" w:hAnsi="Arial" w:cs="Arial"/>
        </w:rPr>
      </w:pPr>
    </w:p>
    <w:p w:rsidR="001E516F" w:rsidRDefault="001E516F">
      <w:pPr>
        <w:pBdr>
          <w:top w:val="nil"/>
          <w:left w:val="nil"/>
          <w:bottom w:val="nil"/>
          <w:right w:val="nil"/>
          <w:between w:val="nil"/>
        </w:pBdr>
        <w:spacing w:before="120" w:after="120" w:line="240" w:lineRule="auto"/>
        <w:rPr>
          <w:rFonts w:ascii="Arial" w:eastAsia="Arial" w:hAnsi="Arial" w:cs="Arial"/>
        </w:rPr>
      </w:pPr>
    </w:p>
    <w:p w:rsidR="001E516F" w:rsidRDefault="001E516F">
      <w:pPr>
        <w:pBdr>
          <w:top w:val="nil"/>
          <w:left w:val="nil"/>
          <w:bottom w:val="nil"/>
          <w:right w:val="nil"/>
          <w:between w:val="nil"/>
        </w:pBdr>
        <w:spacing w:before="120" w:after="120" w:line="240" w:lineRule="auto"/>
        <w:rPr>
          <w:rFonts w:ascii="Arial" w:eastAsia="Arial" w:hAnsi="Arial" w:cs="Arial"/>
        </w:rPr>
      </w:pPr>
    </w:p>
    <w:p w:rsidR="001E516F" w:rsidRDefault="001E516F">
      <w:pPr>
        <w:pBdr>
          <w:top w:val="nil"/>
          <w:left w:val="nil"/>
          <w:bottom w:val="nil"/>
          <w:right w:val="nil"/>
          <w:between w:val="nil"/>
        </w:pBdr>
        <w:spacing w:before="120" w:after="120" w:line="240" w:lineRule="auto"/>
        <w:rPr>
          <w:rFonts w:ascii="Arial" w:eastAsia="Arial" w:hAnsi="Arial" w:cs="Arial"/>
        </w:rPr>
      </w:pPr>
    </w:p>
    <w:p w:rsidR="003906CD" w:rsidRDefault="003906CD">
      <w:pPr>
        <w:pBdr>
          <w:top w:val="nil"/>
          <w:left w:val="nil"/>
          <w:bottom w:val="nil"/>
          <w:right w:val="nil"/>
          <w:between w:val="nil"/>
        </w:pBdr>
        <w:spacing w:before="120" w:after="120" w:line="240" w:lineRule="auto"/>
        <w:rPr>
          <w:rFonts w:ascii="Arial" w:eastAsia="Arial" w:hAnsi="Arial" w:cs="Arial"/>
        </w:rPr>
      </w:pPr>
    </w:p>
    <w:p w:rsidR="003906CD" w:rsidRDefault="003906CD">
      <w:pPr>
        <w:pBdr>
          <w:top w:val="nil"/>
          <w:left w:val="nil"/>
          <w:bottom w:val="nil"/>
          <w:right w:val="nil"/>
          <w:between w:val="nil"/>
        </w:pBdr>
        <w:spacing w:before="120" w:after="120" w:line="240" w:lineRule="auto"/>
        <w:rPr>
          <w:rFonts w:ascii="Arial" w:eastAsia="Arial" w:hAnsi="Arial" w:cs="Arial"/>
        </w:rPr>
      </w:pPr>
    </w:p>
    <w:p w:rsidR="003906CD" w:rsidRDefault="003906CD">
      <w:pPr>
        <w:pBdr>
          <w:top w:val="nil"/>
          <w:left w:val="nil"/>
          <w:bottom w:val="nil"/>
          <w:right w:val="nil"/>
          <w:between w:val="nil"/>
        </w:pBdr>
        <w:spacing w:before="120" w:after="120" w:line="240" w:lineRule="auto"/>
        <w:rPr>
          <w:rFonts w:ascii="Arial" w:eastAsia="Arial" w:hAnsi="Arial" w:cs="Arial"/>
        </w:rPr>
      </w:pPr>
    </w:p>
    <w:p w:rsidR="003906CD" w:rsidRDefault="00930550">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lastRenderedPageBreak/>
        <w:t xml:space="preserve">Part B: Performance Monitoring </w:t>
      </w:r>
    </w:p>
    <w:p w:rsidR="003906CD" w:rsidRDefault="00930550">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3906CD" w:rsidRDefault="00930550">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KPI Performance Measures and KPI Categories will operate between the Parties and the Parties will endeavour to agree such process as soon as reasonably possible.</w:t>
      </w:r>
    </w:p>
    <w:p w:rsidR="003906CD" w:rsidRDefault="00930550">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with performance monitoring reports in the same format as that in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each KPI Performance Measure and each KPI Category, the Score Threshold </w:t>
      </w:r>
      <w:proofErr w:type="gramStart"/>
      <w:r>
        <w:rPr>
          <w:rFonts w:ascii="Arial" w:eastAsia="Arial" w:hAnsi="Arial" w:cs="Arial"/>
          <w:color w:val="000000"/>
          <w:sz w:val="24"/>
          <w:szCs w:val="24"/>
        </w:rPr>
        <w:t>achieved  for</w:t>
      </w:r>
      <w:proofErr w:type="gramEnd"/>
      <w:r>
        <w:rPr>
          <w:rFonts w:ascii="Arial" w:eastAsia="Arial" w:hAnsi="Arial" w:cs="Arial"/>
          <w:color w:val="000000"/>
          <w:sz w:val="24"/>
          <w:szCs w:val="24"/>
        </w:rPr>
        <w:t xml:space="preserve"> the relevant Service Period;</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KPI Performance Measures and KPI Category Failures, that occurred during that Service Period;</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Persistent KPI Failures;</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Persistent failures, actions taken to resolve the underlying cause and prevent recurrence;</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KPI Credits to be applied in respect of the relevant Service Period indicating the KPI Category Failures and the KPI Performance Measures to which the KPI Credits relate; and</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3906CD" w:rsidRDefault="00930550">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3906CD" w:rsidRDefault="00930550">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3906CD" w:rsidRDefault="00930550">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3906CD" w:rsidRDefault="00930550">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KPI Credits for any specified Service Period.</w:t>
      </w:r>
    </w:p>
    <w:p w:rsidR="003906CD" w:rsidRDefault="003906CD">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3906CD" w:rsidRDefault="00930550">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3906CD" w:rsidRDefault="00930550">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 Contract.</w:t>
      </w:r>
    </w:p>
    <w:p w:rsidR="003906CD" w:rsidRDefault="003906CD">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0" w:name="_heading=h.30j0zll" w:colFirst="0" w:colLast="0"/>
      <w:bookmarkEnd w:id="20"/>
    </w:p>
    <w:sectPr w:rsidR="003906C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469" w:rsidRDefault="00005469">
      <w:pPr>
        <w:spacing w:after="0" w:line="240" w:lineRule="auto"/>
      </w:pPr>
      <w:r>
        <w:separator/>
      </w:r>
    </w:p>
  </w:endnote>
  <w:endnote w:type="continuationSeparator" w:id="0">
    <w:p w:rsidR="00005469" w:rsidRDefault="00005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CD" w:rsidRDefault="003906C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CD" w:rsidRDefault="003906CD">
    <w:pPr>
      <w:tabs>
        <w:tab w:val="center" w:pos="4513"/>
        <w:tab w:val="right" w:pos="9026"/>
      </w:tabs>
      <w:spacing w:after="0" w:line="240" w:lineRule="auto"/>
      <w:jc w:val="both"/>
    </w:pPr>
  </w:p>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RM6331</w:t>
    </w:r>
    <w:r>
      <w:t xml:space="preserve">     </w:t>
    </w:r>
  </w:p>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6622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CD" w:rsidRDefault="003906CD">
    <w:pPr>
      <w:tabs>
        <w:tab w:val="center" w:pos="4513"/>
        <w:tab w:val="right" w:pos="9026"/>
      </w:tabs>
      <w:spacing w:after="0" w:line="240" w:lineRule="auto"/>
      <w:jc w:val="both"/>
    </w:pPr>
  </w:p>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906CD" w:rsidRDefault="00930550">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469" w:rsidRDefault="00005469">
      <w:pPr>
        <w:spacing w:after="0" w:line="240" w:lineRule="auto"/>
      </w:pPr>
      <w:r>
        <w:separator/>
      </w:r>
    </w:p>
  </w:footnote>
  <w:footnote w:type="continuationSeparator" w:id="0">
    <w:p w:rsidR="00005469" w:rsidRDefault="00005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CD" w:rsidRDefault="003906C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3906CD" w:rsidRDefault="009305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rsidR="003906CD" w:rsidRDefault="003906CD">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CD" w:rsidRDefault="003906C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B08B0"/>
    <w:multiLevelType w:val="multilevel"/>
    <w:tmpl w:val="E6060B7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AA16CC6"/>
    <w:multiLevelType w:val="multilevel"/>
    <w:tmpl w:val="48E85608"/>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E0A5983"/>
    <w:multiLevelType w:val="multilevel"/>
    <w:tmpl w:val="846C8170"/>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E1F3E25"/>
    <w:multiLevelType w:val="multilevel"/>
    <w:tmpl w:val="A59283F2"/>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BoldHeading"/>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831292"/>
    <w:multiLevelType w:val="multilevel"/>
    <w:tmpl w:val="631CB602"/>
    <w:lvl w:ilvl="0">
      <w:start w:val="1"/>
      <w:numFmt w:val="decimal"/>
      <w:pStyle w:val="BodyTextIndent"/>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6CD"/>
    <w:rsid w:val="00005469"/>
    <w:rsid w:val="000B57AC"/>
    <w:rsid w:val="001E516F"/>
    <w:rsid w:val="003906CD"/>
    <w:rsid w:val="00930550"/>
    <w:rsid w:val="00AC3A1C"/>
    <w:rsid w:val="00F662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21947"/>
  <w15:docId w15:val="{81DD1A38-B271-4F8E-9B04-0E99CAE1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ff4">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ff5">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ff6">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ff7">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dhAJN41q84sA41pzvmQuAQAmA==">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1933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Sian Moulton</cp:lastModifiedBy>
  <cp:revision>2</cp:revision>
  <dcterms:created xsi:type="dcterms:W3CDTF">2025-01-14T13:40:00Z</dcterms:created>
  <dcterms:modified xsi:type="dcterms:W3CDTF">2025-01-14T13:40:00Z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